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585BE" w14:textId="2EDA8A29" w:rsidR="00F652DE" w:rsidRDefault="00146A40" w:rsidP="009B7B7F">
      <w:pPr>
        <w:pStyle w:val="Geenafstand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Reducing</w:t>
      </w:r>
      <w:r w:rsidR="00D76351">
        <w:rPr>
          <w:b/>
          <w:lang w:val="en-GB"/>
        </w:rPr>
        <w:t xml:space="preserve"> inappropriate drug use</w:t>
      </w:r>
      <w:r w:rsidR="00D76351" w:rsidRPr="00D76351">
        <w:rPr>
          <w:b/>
          <w:lang w:val="en-GB"/>
        </w:rPr>
        <w:t xml:space="preserve"> in elderly patients by use of clinical decision support</w:t>
      </w:r>
      <w:r>
        <w:rPr>
          <w:b/>
          <w:lang w:val="en-GB"/>
        </w:rPr>
        <w:t xml:space="preserve"> in the community pharmacy</w:t>
      </w:r>
      <w:r w:rsidR="00D76351" w:rsidRPr="00D76351">
        <w:rPr>
          <w:b/>
          <w:lang w:val="en-GB"/>
        </w:rPr>
        <w:t xml:space="preserve">: a mixed-methods evaluation of determinants </w:t>
      </w:r>
      <w:r>
        <w:rPr>
          <w:b/>
          <w:lang w:val="en-GB"/>
        </w:rPr>
        <w:t>of drug therapy changes</w:t>
      </w:r>
    </w:p>
    <w:p w14:paraId="29AA6B87" w14:textId="1EB95763" w:rsidR="009B7B7F" w:rsidRPr="00DF7F9C" w:rsidRDefault="00BA42FD" w:rsidP="009B7B7F">
      <w:pPr>
        <w:pStyle w:val="Geenafstand"/>
        <w:rPr>
          <w:lang w:val="en-GB"/>
        </w:rPr>
      </w:pPr>
      <w:r w:rsidRPr="00DF7F9C">
        <w:rPr>
          <w:lang w:val="en-GB"/>
        </w:rPr>
        <w:t>Linda Mulder-Wildemors</w:t>
      </w:r>
      <w:r w:rsidR="009B7B7F" w:rsidRPr="00DF7F9C">
        <w:rPr>
          <w:vertAlign w:val="superscript"/>
          <w:lang w:val="en-GB"/>
        </w:rPr>
        <w:t>1</w:t>
      </w:r>
      <w:r w:rsidRPr="00DF7F9C">
        <w:rPr>
          <w:lang w:val="en-GB"/>
        </w:rPr>
        <w:t>, Mette Heringa</w:t>
      </w:r>
      <w:r w:rsidR="009B7B7F" w:rsidRPr="00DF7F9C">
        <w:rPr>
          <w:vertAlign w:val="superscript"/>
          <w:lang w:val="en-GB"/>
        </w:rPr>
        <w:t>1,2</w:t>
      </w:r>
      <w:r w:rsidRPr="00DF7F9C">
        <w:rPr>
          <w:lang w:val="en-GB"/>
        </w:rPr>
        <w:t>, Annemieke Floor-Schreudering</w:t>
      </w:r>
      <w:r w:rsidR="009B7B7F" w:rsidRPr="00DF7F9C">
        <w:rPr>
          <w:vertAlign w:val="superscript"/>
          <w:lang w:val="en-GB"/>
        </w:rPr>
        <w:t>1,2</w:t>
      </w:r>
      <w:r w:rsidRPr="00DF7F9C">
        <w:rPr>
          <w:lang w:val="en-GB"/>
        </w:rPr>
        <w:t>, Paul Jansen</w:t>
      </w:r>
      <w:r w:rsidR="009B7B7F" w:rsidRPr="00DF7F9C">
        <w:rPr>
          <w:vertAlign w:val="superscript"/>
          <w:lang w:val="en-GB"/>
        </w:rPr>
        <w:t>3</w:t>
      </w:r>
      <w:r w:rsidRPr="00DF7F9C">
        <w:rPr>
          <w:lang w:val="en-GB"/>
        </w:rPr>
        <w:t>, Petra Hoogland</w:t>
      </w:r>
      <w:r w:rsidR="009B7B7F" w:rsidRPr="00DF7F9C">
        <w:rPr>
          <w:vertAlign w:val="superscript"/>
          <w:lang w:val="en-GB"/>
        </w:rPr>
        <w:t>4</w:t>
      </w:r>
      <w:r w:rsidR="009B7B7F" w:rsidRPr="00DF7F9C">
        <w:rPr>
          <w:lang w:val="en-GB"/>
        </w:rPr>
        <w:t>,</w:t>
      </w:r>
      <w:r w:rsidRPr="00DF7F9C">
        <w:rPr>
          <w:lang w:val="en-GB"/>
        </w:rPr>
        <w:t xml:space="preserve"> </w:t>
      </w:r>
      <w:r w:rsidR="009B7B7F" w:rsidRPr="00DF7F9C">
        <w:rPr>
          <w:lang w:val="en-GB"/>
        </w:rPr>
        <w:t>Sanne Verdoorn</w:t>
      </w:r>
      <w:r w:rsidR="009B7B7F" w:rsidRPr="00DF7F9C">
        <w:rPr>
          <w:vertAlign w:val="superscript"/>
          <w:lang w:val="en-GB"/>
        </w:rPr>
        <w:t>1,2</w:t>
      </w:r>
      <w:r w:rsidR="009B7B7F" w:rsidRPr="00DF7F9C">
        <w:rPr>
          <w:lang w:val="en-GB"/>
        </w:rPr>
        <w:t>, Henk-Frans Kwint</w:t>
      </w:r>
      <w:r w:rsidR="009B7B7F" w:rsidRPr="00DF7F9C">
        <w:rPr>
          <w:vertAlign w:val="superscript"/>
          <w:lang w:val="en-GB"/>
        </w:rPr>
        <w:t>1,</w:t>
      </w:r>
      <w:proofErr w:type="gramStart"/>
      <w:r w:rsidR="009B7B7F" w:rsidRPr="00DF7F9C">
        <w:rPr>
          <w:vertAlign w:val="superscript"/>
          <w:lang w:val="en-GB"/>
        </w:rPr>
        <w:t>2</w:t>
      </w:r>
      <w:r w:rsidR="00650909" w:rsidRPr="00DF7F9C">
        <w:rPr>
          <w:vertAlign w:val="superscript"/>
          <w:lang w:val="en-GB"/>
        </w:rPr>
        <w:t>,*</w:t>
      </w:r>
      <w:proofErr w:type="gramEnd"/>
      <w:r w:rsidR="009B7B7F" w:rsidRPr="00DF7F9C">
        <w:rPr>
          <w:lang w:val="en-GB"/>
        </w:rPr>
        <w:t xml:space="preserve"> </w:t>
      </w:r>
      <w:r w:rsidRPr="00DF7F9C">
        <w:rPr>
          <w:lang w:val="en-GB"/>
        </w:rPr>
        <w:t>en Marcel Bouvy</w:t>
      </w:r>
      <w:r w:rsidR="009B7B7F" w:rsidRPr="00DF7F9C">
        <w:rPr>
          <w:vertAlign w:val="superscript"/>
          <w:lang w:val="en-GB"/>
        </w:rPr>
        <w:t>1,2</w:t>
      </w:r>
      <w:r w:rsidR="009B7B7F" w:rsidRPr="00DF7F9C">
        <w:rPr>
          <w:lang w:val="en-GB"/>
        </w:rPr>
        <w:br/>
      </w:r>
      <w:r w:rsidR="009B7B7F" w:rsidRPr="00DF7F9C">
        <w:rPr>
          <w:rFonts w:asciiTheme="majorHAnsi" w:hAnsiTheme="majorHAnsi" w:cs="Times New Roman"/>
          <w:sz w:val="20"/>
          <w:szCs w:val="20"/>
          <w:vertAlign w:val="superscript"/>
          <w:lang w:val="en-GB"/>
        </w:rPr>
        <w:t>1</w:t>
      </w:r>
      <w:r w:rsidR="009B7B7F" w:rsidRPr="00DF7F9C">
        <w:rPr>
          <w:rFonts w:asciiTheme="majorHAnsi" w:hAnsiTheme="majorHAnsi" w:cs="Times New Roman"/>
          <w:sz w:val="20"/>
          <w:szCs w:val="20"/>
          <w:lang w:val="en-GB"/>
        </w:rPr>
        <w:t xml:space="preserve"> SIR Institute for Pharmacy Practice and Policy</w:t>
      </w:r>
      <w:r w:rsidR="00A268DA" w:rsidRPr="00DF7F9C">
        <w:rPr>
          <w:rFonts w:asciiTheme="majorHAnsi" w:hAnsiTheme="majorHAnsi" w:cs="Times New Roman"/>
          <w:sz w:val="20"/>
          <w:szCs w:val="20"/>
          <w:lang w:val="en-GB"/>
        </w:rPr>
        <w:t>, Leiden, The Netherlands</w:t>
      </w:r>
      <w:r w:rsidR="009B7B7F" w:rsidRPr="00DF7F9C">
        <w:rPr>
          <w:rFonts w:asciiTheme="majorHAnsi" w:hAnsiTheme="majorHAnsi" w:cs="Times New Roman"/>
          <w:sz w:val="20"/>
          <w:szCs w:val="20"/>
          <w:lang w:val="en-GB"/>
        </w:rPr>
        <w:t xml:space="preserve">; </w:t>
      </w:r>
      <w:r w:rsidR="009B7B7F" w:rsidRPr="00DF7F9C">
        <w:rPr>
          <w:rFonts w:asciiTheme="majorHAnsi" w:hAnsiTheme="majorHAnsi" w:cs="Times New Roman"/>
          <w:sz w:val="20"/>
          <w:szCs w:val="20"/>
          <w:vertAlign w:val="superscript"/>
          <w:lang w:val="en-GB"/>
        </w:rPr>
        <w:t>2</w:t>
      </w:r>
      <w:r w:rsidR="009B7B7F" w:rsidRPr="00DF7F9C">
        <w:rPr>
          <w:rFonts w:asciiTheme="majorHAnsi" w:hAnsiTheme="majorHAnsi" w:cs="Times New Roman"/>
          <w:sz w:val="20"/>
          <w:szCs w:val="20"/>
          <w:lang w:val="en-GB"/>
        </w:rPr>
        <w:t xml:space="preserve"> Universiteit Utrecht</w:t>
      </w:r>
      <w:r w:rsidR="00A268DA" w:rsidRPr="00DF7F9C">
        <w:rPr>
          <w:rFonts w:asciiTheme="majorHAnsi" w:hAnsiTheme="majorHAnsi" w:cs="Times New Roman"/>
          <w:sz w:val="20"/>
          <w:szCs w:val="20"/>
          <w:lang w:val="en-GB"/>
        </w:rPr>
        <w:t>, Utrecht, The Netherlands</w:t>
      </w:r>
      <w:r w:rsidR="009B7B7F" w:rsidRPr="00DF7F9C">
        <w:rPr>
          <w:rFonts w:asciiTheme="majorHAnsi" w:hAnsiTheme="majorHAnsi" w:cs="Times New Roman"/>
          <w:sz w:val="20"/>
          <w:szCs w:val="20"/>
          <w:lang w:val="en-GB"/>
        </w:rPr>
        <w:t xml:space="preserve">; </w:t>
      </w:r>
      <w:r w:rsidR="009B7B7F" w:rsidRPr="00DF7F9C">
        <w:rPr>
          <w:rFonts w:asciiTheme="majorHAnsi" w:hAnsiTheme="majorHAnsi" w:cs="Times New Roman"/>
          <w:sz w:val="20"/>
          <w:szCs w:val="20"/>
          <w:vertAlign w:val="superscript"/>
          <w:lang w:val="en-GB"/>
        </w:rPr>
        <w:t>3</w:t>
      </w:r>
      <w:r w:rsidR="009B7B7F" w:rsidRPr="00A73F5B">
        <w:rPr>
          <w:rFonts w:asciiTheme="majorHAnsi" w:hAnsiTheme="majorHAnsi" w:cs="Times New Roman"/>
          <w:sz w:val="20"/>
          <w:szCs w:val="20"/>
          <w:vertAlign w:val="superscript"/>
          <w:lang w:val="en-GB"/>
        </w:rPr>
        <w:t xml:space="preserve"> </w:t>
      </w:r>
      <w:proofErr w:type="spellStart"/>
      <w:r w:rsidR="00A268DA" w:rsidRPr="00A268DA">
        <w:rPr>
          <w:rFonts w:asciiTheme="majorHAnsi" w:hAnsiTheme="majorHAnsi" w:cs="Times New Roman"/>
          <w:sz w:val="20"/>
          <w:szCs w:val="20"/>
          <w:lang w:val="en-GB"/>
        </w:rPr>
        <w:t>Expertisecentrum</w:t>
      </w:r>
      <w:proofErr w:type="spellEnd"/>
      <w:r w:rsidR="00A268DA" w:rsidRPr="00A268DA">
        <w:rPr>
          <w:rFonts w:asciiTheme="majorHAnsi" w:hAnsiTheme="majorHAnsi" w:cs="Times New Roman"/>
          <w:sz w:val="20"/>
          <w:szCs w:val="20"/>
          <w:lang w:val="en-GB"/>
        </w:rPr>
        <w:t xml:space="preserve"> </w:t>
      </w:r>
      <w:proofErr w:type="spellStart"/>
      <w:r w:rsidR="00A268DA" w:rsidRPr="00A268DA">
        <w:rPr>
          <w:rFonts w:asciiTheme="majorHAnsi" w:hAnsiTheme="majorHAnsi" w:cs="Times New Roman"/>
          <w:sz w:val="20"/>
          <w:szCs w:val="20"/>
          <w:lang w:val="en-GB"/>
        </w:rPr>
        <w:t>PHarmacotherapie</w:t>
      </w:r>
      <w:proofErr w:type="spellEnd"/>
      <w:r w:rsidR="00A268DA" w:rsidRPr="00A268DA">
        <w:rPr>
          <w:rFonts w:asciiTheme="majorHAnsi" w:hAnsiTheme="majorHAnsi" w:cs="Times New Roman"/>
          <w:sz w:val="20"/>
          <w:szCs w:val="20"/>
          <w:lang w:val="en-GB"/>
        </w:rPr>
        <w:t xml:space="preserve"> </w:t>
      </w:r>
      <w:proofErr w:type="spellStart"/>
      <w:r w:rsidR="00A268DA" w:rsidRPr="00A268DA">
        <w:rPr>
          <w:rFonts w:asciiTheme="majorHAnsi" w:hAnsiTheme="majorHAnsi" w:cs="Times New Roman"/>
          <w:sz w:val="20"/>
          <w:szCs w:val="20"/>
          <w:lang w:val="en-GB"/>
        </w:rPr>
        <w:t>bij</w:t>
      </w:r>
      <w:proofErr w:type="spellEnd"/>
      <w:r w:rsidR="00A268DA" w:rsidRPr="00A268DA">
        <w:rPr>
          <w:rFonts w:asciiTheme="majorHAnsi" w:hAnsiTheme="majorHAnsi" w:cs="Times New Roman"/>
          <w:sz w:val="20"/>
          <w:szCs w:val="20"/>
          <w:lang w:val="en-GB"/>
        </w:rPr>
        <w:t xml:space="preserve"> </w:t>
      </w:r>
      <w:proofErr w:type="spellStart"/>
      <w:r w:rsidR="00A268DA" w:rsidRPr="00A268DA">
        <w:rPr>
          <w:rFonts w:asciiTheme="majorHAnsi" w:hAnsiTheme="majorHAnsi" w:cs="Times New Roman"/>
          <w:sz w:val="20"/>
          <w:szCs w:val="20"/>
          <w:lang w:val="en-GB"/>
        </w:rPr>
        <w:t>OudeRen</w:t>
      </w:r>
      <w:proofErr w:type="spellEnd"/>
      <w:r w:rsidR="00A268DA">
        <w:rPr>
          <w:rFonts w:asciiTheme="majorHAnsi" w:hAnsiTheme="majorHAnsi" w:cs="Times New Roman"/>
          <w:sz w:val="20"/>
          <w:szCs w:val="20"/>
          <w:lang w:val="en-GB"/>
        </w:rPr>
        <w:t xml:space="preserve"> (E</w:t>
      </w:r>
      <w:r w:rsidR="00A07401" w:rsidRPr="00A73F5B">
        <w:rPr>
          <w:rFonts w:asciiTheme="majorHAnsi" w:hAnsiTheme="majorHAnsi" w:cs="Times New Roman"/>
          <w:sz w:val="20"/>
          <w:szCs w:val="20"/>
          <w:lang w:val="en-GB"/>
        </w:rPr>
        <w:t>phor</w:t>
      </w:r>
      <w:r w:rsidR="00A268DA">
        <w:rPr>
          <w:rFonts w:asciiTheme="majorHAnsi" w:hAnsiTheme="majorHAnsi" w:cs="Times New Roman"/>
          <w:sz w:val="20"/>
          <w:szCs w:val="20"/>
          <w:lang w:val="en-GB"/>
        </w:rPr>
        <w:t>), The Netherlands</w:t>
      </w:r>
      <w:r w:rsidR="009B7B7F" w:rsidRPr="00DF7F9C">
        <w:rPr>
          <w:rFonts w:asciiTheme="majorHAnsi" w:hAnsiTheme="majorHAnsi" w:cs="Times New Roman"/>
          <w:sz w:val="20"/>
          <w:szCs w:val="20"/>
          <w:lang w:val="en-GB"/>
        </w:rPr>
        <w:t xml:space="preserve">; </w:t>
      </w:r>
      <w:r w:rsidR="009B7B7F" w:rsidRPr="00DF7F9C">
        <w:rPr>
          <w:rFonts w:asciiTheme="majorHAnsi" w:hAnsiTheme="majorHAnsi" w:cs="Times New Roman"/>
          <w:sz w:val="20"/>
          <w:szCs w:val="20"/>
          <w:vertAlign w:val="superscript"/>
          <w:lang w:val="en-GB"/>
        </w:rPr>
        <w:t xml:space="preserve">4 </w:t>
      </w:r>
      <w:r w:rsidR="009B7B7F" w:rsidRPr="00DF7F9C">
        <w:rPr>
          <w:rFonts w:asciiTheme="majorHAnsi" w:hAnsiTheme="majorHAnsi" w:cs="Times New Roman"/>
          <w:sz w:val="20"/>
          <w:szCs w:val="20"/>
          <w:lang w:val="en-GB"/>
        </w:rPr>
        <w:t xml:space="preserve">Nederlandse Service Apotheek Beheer </w:t>
      </w:r>
      <w:r w:rsidR="009B7B7F" w:rsidRPr="007277D2">
        <w:rPr>
          <w:rFonts w:asciiTheme="majorHAnsi" w:hAnsiTheme="majorHAnsi" w:cs="Times New Roman"/>
          <w:sz w:val="20"/>
          <w:szCs w:val="20"/>
          <w:lang w:val="en-GB"/>
        </w:rPr>
        <w:t>B.V</w:t>
      </w:r>
      <w:r w:rsidR="00A268DA" w:rsidRPr="007277D2">
        <w:rPr>
          <w:rFonts w:asciiTheme="majorHAnsi" w:hAnsiTheme="majorHAnsi" w:cs="Times New Roman"/>
          <w:sz w:val="20"/>
          <w:szCs w:val="20"/>
          <w:lang w:val="en-GB"/>
        </w:rPr>
        <w:t>, ’s-Hertogenbosch, The Netherlands</w:t>
      </w:r>
      <w:r w:rsidR="00650909" w:rsidRPr="007277D2">
        <w:rPr>
          <w:rFonts w:asciiTheme="majorHAnsi" w:hAnsiTheme="majorHAnsi" w:cs="Times New Roman"/>
          <w:sz w:val="20"/>
          <w:szCs w:val="20"/>
          <w:lang w:val="en-GB"/>
        </w:rPr>
        <w:br/>
      </w:r>
      <w:r w:rsidR="00650909" w:rsidRPr="00DF7F9C">
        <w:rPr>
          <w:rFonts w:cs="Times New Roman"/>
          <w:sz w:val="18"/>
          <w:szCs w:val="18"/>
          <w:lang w:val="en-GB"/>
        </w:rPr>
        <w:t>* presenting</w:t>
      </w:r>
      <w:r w:rsidR="00650909" w:rsidRPr="00A73F5B">
        <w:rPr>
          <w:rFonts w:cs="Times New Roman"/>
          <w:sz w:val="18"/>
          <w:szCs w:val="18"/>
          <w:lang w:val="en-GB"/>
        </w:rPr>
        <w:t xml:space="preserve"> author</w:t>
      </w:r>
    </w:p>
    <w:p w14:paraId="09EBD983" w14:textId="77777777" w:rsidR="00BA42FD" w:rsidRPr="00DF7F9C" w:rsidRDefault="00BA42FD" w:rsidP="00995E8E">
      <w:pPr>
        <w:pStyle w:val="Geenafstand"/>
        <w:rPr>
          <w:b/>
          <w:lang w:val="en-GB"/>
        </w:rPr>
      </w:pPr>
    </w:p>
    <w:p w14:paraId="3804244C" w14:textId="77777777" w:rsidR="007C6121" w:rsidRPr="00256BE6" w:rsidRDefault="007C6121" w:rsidP="00995E8E">
      <w:pPr>
        <w:pStyle w:val="Geenafstand"/>
        <w:rPr>
          <w:b/>
          <w:lang w:val="en-GB"/>
        </w:rPr>
      </w:pPr>
      <w:r w:rsidRPr="00256BE6">
        <w:rPr>
          <w:b/>
          <w:lang w:val="en-GB"/>
        </w:rPr>
        <w:t>Background</w:t>
      </w:r>
    </w:p>
    <w:p w14:paraId="11F149CF" w14:textId="3EBA105B" w:rsidR="007C6121" w:rsidRPr="00566559" w:rsidRDefault="00E57BD8" w:rsidP="00995E8E">
      <w:pPr>
        <w:pStyle w:val="Geenafstand"/>
        <w:rPr>
          <w:lang w:val="en-US"/>
        </w:rPr>
      </w:pPr>
      <w:r>
        <w:rPr>
          <w:lang w:val="en-GB"/>
        </w:rPr>
        <w:t xml:space="preserve">Older people are prone to drug related harm. </w:t>
      </w:r>
      <w:r w:rsidR="007C6121" w:rsidRPr="00566559">
        <w:rPr>
          <w:lang w:val="en"/>
        </w:rPr>
        <w:t>The</w:t>
      </w:r>
      <w:r w:rsidR="00556156" w:rsidRPr="00556156">
        <w:rPr>
          <w:rFonts w:ascii="Lato" w:hAnsi="Lato"/>
          <w:color w:val="757575"/>
          <w:sz w:val="21"/>
          <w:szCs w:val="21"/>
          <w:lang w:val="en"/>
        </w:rPr>
        <w:t xml:space="preserve"> </w:t>
      </w:r>
      <w:r w:rsidR="007074C6" w:rsidRPr="006C407D">
        <w:rPr>
          <w:rFonts w:ascii="Lato" w:hAnsi="Lato"/>
          <w:sz w:val="21"/>
          <w:szCs w:val="21"/>
          <w:lang w:val="en"/>
        </w:rPr>
        <w:t>Dutch</w:t>
      </w:r>
      <w:r w:rsidR="007074C6" w:rsidRPr="00A73F5B">
        <w:rPr>
          <w:rFonts w:ascii="Lato" w:hAnsi="Lato"/>
          <w:sz w:val="21"/>
          <w:szCs w:val="21"/>
          <w:lang w:val="en-GB"/>
        </w:rPr>
        <w:t xml:space="preserve"> </w:t>
      </w:r>
      <w:r w:rsidR="00556156" w:rsidRPr="00A73F5B">
        <w:rPr>
          <w:rFonts w:ascii="Lato" w:hAnsi="Lato"/>
          <w:sz w:val="21"/>
          <w:szCs w:val="21"/>
          <w:lang w:val="en-GB"/>
        </w:rPr>
        <w:t>Expertisecentre</w:t>
      </w:r>
      <w:r w:rsidR="00556156" w:rsidRPr="006C407D">
        <w:rPr>
          <w:rFonts w:ascii="Lato" w:hAnsi="Lato"/>
          <w:sz w:val="21"/>
          <w:szCs w:val="21"/>
          <w:lang w:val="en"/>
        </w:rPr>
        <w:t xml:space="preserve"> PHarmacotherapy in Old persons</w:t>
      </w:r>
      <w:r w:rsidR="00CF7B94">
        <w:rPr>
          <w:lang w:val="en"/>
        </w:rPr>
        <w:t xml:space="preserve"> </w:t>
      </w:r>
      <w:r w:rsidR="007C6121" w:rsidRPr="006C407D">
        <w:rPr>
          <w:lang w:val="en"/>
        </w:rPr>
        <w:t>(Ephor</w:t>
      </w:r>
      <w:r w:rsidR="007C6121" w:rsidRPr="00566559">
        <w:rPr>
          <w:lang w:val="en"/>
        </w:rPr>
        <w:t xml:space="preserve">) </w:t>
      </w:r>
      <w:r w:rsidR="007C6121" w:rsidRPr="00566559">
        <w:rPr>
          <w:lang w:val="en-IE"/>
        </w:rPr>
        <w:t xml:space="preserve">has published evidence-based guidelines </w:t>
      </w:r>
      <w:r w:rsidR="00FD4126">
        <w:rPr>
          <w:lang w:val="en-IE"/>
        </w:rPr>
        <w:t xml:space="preserve">about </w:t>
      </w:r>
      <w:r w:rsidR="007C6121" w:rsidRPr="00566559">
        <w:rPr>
          <w:lang w:val="en-IE"/>
        </w:rPr>
        <w:t xml:space="preserve">the most appropriate drug </w:t>
      </w:r>
      <w:r w:rsidR="00FD4126" w:rsidRPr="00566559">
        <w:rPr>
          <w:lang w:val="en-IE"/>
        </w:rPr>
        <w:t>per therapeutic class</w:t>
      </w:r>
      <w:r w:rsidR="00413BAF">
        <w:rPr>
          <w:lang w:val="en-IE"/>
        </w:rPr>
        <w:t xml:space="preserve"> </w:t>
      </w:r>
      <w:r w:rsidR="007C6121" w:rsidRPr="00566559">
        <w:rPr>
          <w:lang w:val="en-IE"/>
        </w:rPr>
        <w:t>for vulnerable</w:t>
      </w:r>
      <w:r w:rsidR="00413BAF">
        <w:rPr>
          <w:lang w:val="en-IE"/>
        </w:rPr>
        <w:t xml:space="preserve"> elderly</w:t>
      </w:r>
      <w:r w:rsidR="007C6121" w:rsidRPr="00566559">
        <w:rPr>
          <w:lang w:val="en-IE"/>
        </w:rPr>
        <w:t>.</w:t>
      </w:r>
      <w:r>
        <w:rPr>
          <w:lang w:val="en-IE"/>
        </w:rPr>
        <w:t xml:space="preserve"> Clinical decision support systems (CDSSs) in community pharmacy can be a tool to implement these guidelines</w:t>
      </w:r>
      <w:r w:rsidR="00F652DE">
        <w:rPr>
          <w:lang w:val="en-IE"/>
        </w:rPr>
        <w:t xml:space="preserve"> </w:t>
      </w:r>
      <w:r w:rsidR="00761DA4">
        <w:rPr>
          <w:lang w:val="en-IE"/>
        </w:rPr>
        <w:t>in order to</w:t>
      </w:r>
      <w:r w:rsidR="00D10633">
        <w:rPr>
          <w:lang w:val="en-IE"/>
        </w:rPr>
        <w:t xml:space="preserve"> improve appropriate prescribing in this population</w:t>
      </w:r>
      <w:r>
        <w:rPr>
          <w:lang w:val="en-IE"/>
        </w:rPr>
        <w:t>.</w:t>
      </w:r>
    </w:p>
    <w:p w14:paraId="70A947A3" w14:textId="77777777" w:rsidR="00722D89" w:rsidRPr="00256BE6" w:rsidRDefault="00722D89" w:rsidP="00995E8E">
      <w:pPr>
        <w:pStyle w:val="Geenafstand"/>
        <w:rPr>
          <w:b/>
          <w:lang w:val="en-GB"/>
        </w:rPr>
      </w:pPr>
    </w:p>
    <w:p w14:paraId="292E3652" w14:textId="77777777" w:rsidR="00722D89" w:rsidRPr="00566559" w:rsidRDefault="00722D89" w:rsidP="001F1E75">
      <w:pPr>
        <w:pStyle w:val="Geenafstand"/>
        <w:rPr>
          <w:b/>
          <w:lang w:val="en-US"/>
        </w:rPr>
      </w:pPr>
      <w:r w:rsidRPr="00566559">
        <w:rPr>
          <w:b/>
          <w:lang w:val="en-US"/>
        </w:rPr>
        <w:t>Purpose</w:t>
      </w:r>
    </w:p>
    <w:p w14:paraId="6CE6B63D" w14:textId="4C14D5B4" w:rsidR="001F1E75" w:rsidRPr="00566559" w:rsidRDefault="001F1E75" w:rsidP="001F1E75">
      <w:pPr>
        <w:pStyle w:val="Geenafstand"/>
        <w:rPr>
          <w:lang w:val="en-US"/>
        </w:rPr>
      </w:pPr>
      <w:r w:rsidRPr="00566559">
        <w:rPr>
          <w:lang w:val="en-US"/>
        </w:rPr>
        <w:t xml:space="preserve">This study aims </w:t>
      </w:r>
      <w:r w:rsidR="00146A40" w:rsidRPr="00146A40">
        <w:rPr>
          <w:lang w:val="en-US"/>
        </w:rPr>
        <w:t>to investigate determinants of drug therapy changes based on CDSS alerts</w:t>
      </w:r>
      <w:r w:rsidR="00411CAF">
        <w:rPr>
          <w:lang w:val="en-US"/>
        </w:rPr>
        <w:t xml:space="preserve"> </w:t>
      </w:r>
      <w:r w:rsidR="00146A40" w:rsidRPr="00146A40">
        <w:rPr>
          <w:lang w:val="en-US"/>
        </w:rPr>
        <w:t>aimed at reducing inappropriate drug use in elderly patients</w:t>
      </w:r>
      <w:r w:rsidR="006C407D">
        <w:rPr>
          <w:lang w:val="en-US"/>
        </w:rPr>
        <w:t>.</w:t>
      </w:r>
    </w:p>
    <w:p w14:paraId="69EA22D1" w14:textId="77777777" w:rsidR="007C6121" w:rsidRPr="00256BE6" w:rsidRDefault="007C6121" w:rsidP="00995E8E">
      <w:pPr>
        <w:pStyle w:val="Geenafstand"/>
        <w:rPr>
          <w:lang w:val="en-GB"/>
        </w:rPr>
      </w:pPr>
    </w:p>
    <w:p w14:paraId="5646920D" w14:textId="77777777" w:rsidR="00722D89" w:rsidRPr="00256BE6" w:rsidRDefault="00722D89" w:rsidP="00995E8E">
      <w:pPr>
        <w:pStyle w:val="Geenafstand"/>
        <w:rPr>
          <w:b/>
          <w:lang w:val="en-GB"/>
        </w:rPr>
      </w:pPr>
      <w:r w:rsidRPr="00256BE6">
        <w:rPr>
          <w:b/>
          <w:lang w:val="en-GB"/>
        </w:rPr>
        <w:t>Method</w:t>
      </w:r>
    </w:p>
    <w:p w14:paraId="6FED2C2A" w14:textId="186D2AF5" w:rsidR="00054BB0" w:rsidRPr="00DE16F8" w:rsidRDefault="00921041" w:rsidP="00054BB0">
      <w:pPr>
        <w:pStyle w:val="Geenafstand"/>
        <w:rPr>
          <w:lang w:val="en-US"/>
        </w:rPr>
      </w:pPr>
      <w:r w:rsidRPr="00256BE6">
        <w:rPr>
          <w:lang w:val="en-GB"/>
        </w:rPr>
        <w:t xml:space="preserve">Five clinical decision rules based on the Ephor guidelines were </w:t>
      </w:r>
      <w:r w:rsidR="00B742ED">
        <w:rPr>
          <w:lang w:val="en-GB"/>
        </w:rPr>
        <w:t>incorporated</w:t>
      </w:r>
      <w:r w:rsidRPr="00256BE6">
        <w:rPr>
          <w:lang w:val="en-GB"/>
        </w:rPr>
        <w:t xml:space="preserve"> in a web-based CDSS in 31 community pharmacies </w:t>
      </w:r>
      <w:r w:rsidR="00256BE6">
        <w:rPr>
          <w:lang w:val="en-GB"/>
        </w:rPr>
        <w:t xml:space="preserve">(franchisees of Service Apotheek) </w:t>
      </w:r>
      <w:r w:rsidR="000A42BD">
        <w:rPr>
          <w:lang w:val="en-GB"/>
        </w:rPr>
        <w:t>in</w:t>
      </w:r>
      <w:r w:rsidR="000A42BD" w:rsidRPr="00256BE6">
        <w:rPr>
          <w:lang w:val="en-GB"/>
        </w:rPr>
        <w:t xml:space="preserve"> </w:t>
      </w:r>
      <w:r w:rsidRPr="00256BE6">
        <w:rPr>
          <w:lang w:val="en-GB"/>
        </w:rPr>
        <w:t>February–April 2017</w:t>
      </w:r>
      <w:r w:rsidR="00B742ED">
        <w:rPr>
          <w:lang w:val="en-GB"/>
        </w:rPr>
        <w:t xml:space="preserve">: </w:t>
      </w:r>
      <w:r w:rsidR="00B742ED" w:rsidRPr="00256BE6">
        <w:rPr>
          <w:lang w:val="en-GB"/>
        </w:rPr>
        <w:t xml:space="preserve">alprazolam for anxiety; amitriptyline for depression; barnidipine in hypertension; </w:t>
      </w:r>
      <w:r w:rsidR="00411CAF">
        <w:rPr>
          <w:lang w:val="en-GB"/>
        </w:rPr>
        <w:t>d</w:t>
      </w:r>
      <w:r w:rsidR="00B742ED" w:rsidRPr="00256BE6">
        <w:rPr>
          <w:lang w:val="en-GB"/>
        </w:rPr>
        <w:t>uloxetine, fluoxetine or trazodone in depression; quetiapine or olanzapine at delirium or dementia</w:t>
      </w:r>
      <w:r w:rsidR="00B742ED">
        <w:rPr>
          <w:lang w:val="en-GB"/>
        </w:rPr>
        <w:t xml:space="preserve">. </w:t>
      </w:r>
      <w:r w:rsidRPr="00256BE6">
        <w:rPr>
          <w:lang w:val="en-GB"/>
        </w:rPr>
        <w:t>Th</w:t>
      </w:r>
      <w:r w:rsidR="00B742ED">
        <w:rPr>
          <w:lang w:val="en-GB"/>
        </w:rPr>
        <w:t xml:space="preserve">e </w:t>
      </w:r>
      <w:r w:rsidRPr="00256BE6">
        <w:rPr>
          <w:lang w:val="en-GB"/>
        </w:rPr>
        <w:t>CDSS</w:t>
      </w:r>
      <w:r w:rsidR="00B742ED">
        <w:rPr>
          <w:lang w:val="en-GB"/>
        </w:rPr>
        <w:t xml:space="preserve"> generated </w:t>
      </w:r>
      <w:r w:rsidR="000A42BD">
        <w:rPr>
          <w:lang w:val="en-GB"/>
        </w:rPr>
        <w:t>alerts for patients &gt;</w:t>
      </w:r>
      <w:r w:rsidR="00B742ED">
        <w:rPr>
          <w:lang w:val="en-GB"/>
        </w:rPr>
        <w:t>70 years in case of a prescription for one of the</w:t>
      </w:r>
      <w:r w:rsidR="00146A40">
        <w:rPr>
          <w:lang w:val="en-GB"/>
        </w:rPr>
        <w:t xml:space="preserve"> </w:t>
      </w:r>
      <w:r w:rsidR="00411CAF">
        <w:rPr>
          <w:lang w:val="en-GB"/>
        </w:rPr>
        <w:t>eight</w:t>
      </w:r>
      <w:r w:rsidR="00146A40">
        <w:rPr>
          <w:lang w:val="en-GB"/>
        </w:rPr>
        <w:t xml:space="preserve"> drugs</w:t>
      </w:r>
      <w:r w:rsidR="000A42BD">
        <w:rPr>
          <w:lang w:val="en-GB"/>
        </w:rPr>
        <w:t>.</w:t>
      </w:r>
      <w:r w:rsidR="00146A40">
        <w:rPr>
          <w:lang w:val="en-GB"/>
        </w:rPr>
        <w:t xml:space="preserve"> </w:t>
      </w:r>
      <w:r w:rsidR="00054BB0" w:rsidRPr="00DE16F8">
        <w:rPr>
          <w:lang w:val="en-US"/>
        </w:rPr>
        <w:t xml:space="preserve">A descriptive analysis was performed based on the registered alert management </w:t>
      </w:r>
      <w:r w:rsidR="00054BB0">
        <w:rPr>
          <w:lang w:val="en-US"/>
        </w:rPr>
        <w:t>and medication dispensing histories</w:t>
      </w:r>
      <w:r w:rsidR="00054BB0" w:rsidRPr="00DE16F8">
        <w:rPr>
          <w:lang w:val="en-US"/>
        </w:rPr>
        <w:t xml:space="preserve">. </w:t>
      </w:r>
      <w:r w:rsidR="00054BB0">
        <w:rPr>
          <w:lang w:val="en-GB"/>
        </w:rPr>
        <w:t>Potential determinants of persistent drug therapy changes</w:t>
      </w:r>
      <w:r w:rsidR="00FD4126">
        <w:rPr>
          <w:lang w:val="en-GB"/>
        </w:rPr>
        <w:t xml:space="preserve"> </w:t>
      </w:r>
      <w:r w:rsidR="00761DA4">
        <w:rPr>
          <w:lang w:val="en-GB"/>
        </w:rPr>
        <w:t xml:space="preserve">(changes detectable in the medication dispensing history up to </w:t>
      </w:r>
      <w:r w:rsidR="009E16CF">
        <w:rPr>
          <w:lang w:val="en-GB"/>
        </w:rPr>
        <w:t>six</w:t>
      </w:r>
      <w:r w:rsidR="00761DA4">
        <w:rPr>
          <w:lang w:val="en-GB"/>
        </w:rPr>
        <w:t xml:space="preserve"> months after the alert) </w:t>
      </w:r>
      <w:r w:rsidR="00FD4126">
        <w:rPr>
          <w:lang w:val="en-GB"/>
        </w:rPr>
        <w:t xml:space="preserve">were </w:t>
      </w:r>
      <w:r w:rsidR="00A0359F">
        <w:rPr>
          <w:lang w:val="en-GB"/>
        </w:rPr>
        <w:t>analysed</w:t>
      </w:r>
      <w:r w:rsidR="00054BB0">
        <w:rPr>
          <w:lang w:val="en-GB"/>
        </w:rPr>
        <w:t xml:space="preserve"> by logistic regression analysis</w:t>
      </w:r>
      <w:r w:rsidR="003C75E9">
        <w:rPr>
          <w:lang w:val="en-GB"/>
        </w:rPr>
        <w:t>.</w:t>
      </w:r>
    </w:p>
    <w:p w14:paraId="6C5DECAA" w14:textId="160800D6" w:rsidR="00722D89" w:rsidRPr="00256BE6" w:rsidRDefault="00146A40" w:rsidP="00722D89">
      <w:pPr>
        <w:pStyle w:val="Geenafstand"/>
        <w:rPr>
          <w:lang w:val="en-GB"/>
        </w:rPr>
      </w:pPr>
      <w:r>
        <w:rPr>
          <w:lang w:val="en-GB"/>
        </w:rPr>
        <w:t>Ten participating community pharmacists were interviewed</w:t>
      </w:r>
      <w:r w:rsidR="00E35AFA">
        <w:rPr>
          <w:lang w:val="en-GB"/>
        </w:rPr>
        <w:t xml:space="preserve"> </w:t>
      </w:r>
      <w:r>
        <w:rPr>
          <w:lang w:val="en-GB"/>
        </w:rPr>
        <w:t xml:space="preserve">about the barriers and facilitators for </w:t>
      </w:r>
      <w:r w:rsidR="000A42BD">
        <w:rPr>
          <w:lang w:val="en-GB"/>
        </w:rPr>
        <w:t>alert management</w:t>
      </w:r>
      <w:r w:rsidR="00C164F4">
        <w:rPr>
          <w:lang w:val="en-GB"/>
        </w:rPr>
        <w:t xml:space="preserve"> for drug therapy change</w:t>
      </w:r>
      <w:r>
        <w:rPr>
          <w:lang w:val="en-GB"/>
        </w:rPr>
        <w:t xml:space="preserve">. </w:t>
      </w:r>
      <w:r w:rsidR="00F772A2">
        <w:rPr>
          <w:lang w:val="en-GB"/>
        </w:rPr>
        <w:t>A</w:t>
      </w:r>
      <w:r w:rsidR="00FD4126">
        <w:rPr>
          <w:lang w:val="en-GB"/>
        </w:rPr>
        <w:t>n</w:t>
      </w:r>
      <w:r w:rsidR="00E35AFA">
        <w:rPr>
          <w:lang w:val="en-GB"/>
        </w:rPr>
        <w:t xml:space="preserve"> inductive thematic analysis </w:t>
      </w:r>
      <w:r w:rsidR="00F772A2">
        <w:rPr>
          <w:lang w:val="en-GB"/>
        </w:rPr>
        <w:t xml:space="preserve">of the transcripts </w:t>
      </w:r>
      <w:r w:rsidR="00E35AFA">
        <w:rPr>
          <w:lang w:val="en-GB"/>
        </w:rPr>
        <w:t>was performed.</w:t>
      </w:r>
    </w:p>
    <w:p w14:paraId="6A4D1DD5" w14:textId="77777777" w:rsidR="00921041" w:rsidRPr="00256BE6" w:rsidRDefault="00921041" w:rsidP="00995E8E">
      <w:pPr>
        <w:pStyle w:val="Geenafstand"/>
        <w:rPr>
          <w:color w:val="FF0000"/>
          <w:lang w:val="en-GB"/>
        </w:rPr>
      </w:pPr>
    </w:p>
    <w:p w14:paraId="2B7E59C2" w14:textId="33155F40" w:rsidR="00995E8E" w:rsidRPr="00256BE6" w:rsidRDefault="00566559" w:rsidP="00995E8E">
      <w:pPr>
        <w:pStyle w:val="Geenafstand"/>
        <w:rPr>
          <w:b/>
          <w:lang w:val="en-GB"/>
        </w:rPr>
      </w:pPr>
      <w:r w:rsidRPr="00256BE6">
        <w:rPr>
          <w:b/>
          <w:lang w:val="en-GB"/>
        </w:rPr>
        <w:t>Findings</w:t>
      </w:r>
    </w:p>
    <w:p w14:paraId="05E30202" w14:textId="532A3A36" w:rsidR="00566559" w:rsidRPr="00D33D85" w:rsidRDefault="00566559" w:rsidP="00566559">
      <w:pPr>
        <w:pStyle w:val="Geenafstand"/>
        <w:rPr>
          <w:lang w:val="en-GB"/>
        </w:rPr>
      </w:pPr>
      <w:r w:rsidRPr="00566559">
        <w:rPr>
          <w:rFonts w:ascii="Calibri" w:hAnsi="Calibri"/>
          <w:lang w:val="en-US"/>
        </w:rPr>
        <w:t xml:space="preserve">The pharmacists </w:t>
      </w:r>
      <w:r w:rsidR="00FD4126">
        <w:rPr>
          <w:rFonts w:ascii="Calibri" w:hAnsi="Calibri"/>
          <w:lang w:val="en-US"/>
        </w:rPr>
        <w:t xml:space="preserve">registered the </w:t>
      </w:r>
      <w:r w:rsidRPr="00566559">
        <w:rPr>
          <w:rFonts w:ascii="Calibri" w:hAnsi="Calibri"/>
          <w:lang w:val="en-US"/>
        </w:rPr>
        <w:t>manage</w:t>
      </w:r>
      <w:r w:rsidR="00FD4126">
        <w:rPr>
          <w:rFonts w:ascii="Calibri" w:hAnsi="Calibri"/>
          <w:lang w:val="en-US"/>
        </w:rPr>
        <w:t xml:space="preserve">ment of </w:t>
      </w:r>
      <w:r w:rsidRPr="00566559">
        <w:rPr>
          <w:rFonts w:ascii="Calibri" w:hAnsi="Calibri"/>
          <w:lang w:val="en-US"/>
        </w:rPr>
        <w:t>1810 of the</w:t>
      </w:r>
      <w:r w:rsidR="00FD4126">
        <w:rPr>
          <w:rFonts w:ascii="Calibri" w:hAnsi="Calibri"/>
          <w:lang w:val="en-US"/>
        </w:rPr>
        <w:t xml:space="preserve"> 2589 generated </w:t>
      </w:r>
      <w:r w:rsidR="004A2E94">
        <w:rPr>
          <w:rFonts w:ascii="Calibri" w:hAnsi="Calibri"/>
          <w:lang w:val="en-US"/>
        </w:rPr>
        <w:t>alerts</w:t>
      </w:r>
      <w:r w:rsidR="002B6DED">
        <w:rPr>
          <w:rFonts w:ascii="Calibri" w:hAnsi="Calibri"/>
          <w:lang w:val="en-US"/>
        </w:rPr>
        <w:t xml:space="preserve"> and</w:t>
      </w:r>
      <w:r w:rsidRPr="00566559">
        <w:rPr>
          <w:rFonts w:ascii="Calibri" w:hAnsi="Calibri"/>
          <w:lang w:val="en-US"/>
        </w:rPr>
        <w:t xml:space="preserve"> 158 (8.7%) </w:t>
      </w:r>
      <w:r w:rsidR="004A2E94">
        <w:rPr>
          <w:rFonts w:ascii="Calibri" w:hAnsi="Calibri"/>
          <w:lang w:val="en-US"/>
        </w:rPr>
        <w:t>alerts</w:t>
      </w:r>
      <w:r w:rsidRPr="00566559">
        <w:rPr>
          <w:rFonts w:ascii="Calibri" w:hAnsi="Calibri"/>
          <w:lang w:val="en-US"/>
        </w:rPr>
        <w:t xml:space="preserve"> resulted in</w:t>
      </w:r>
      <w:r w:rsidR="00256BE6">
        <w:rPr>
          <w:rFonts w:ascii="Calibri" w:hAnsi="Calibri"/>
          <w:lang w:val="en-US"/>
        </w:rPr>
        <w:t xml:space="preserve"> a</w:t>
      </w:r>
      <w:r w:rsidRPr="00566559">
        <w:rPr>
          <w:rFonts w:ascii="Calibri" w:hAnsi="Calibri"/>
          <w:lang w:val="en-US"/>
        </w:rPr>
        <w:t xml:space="preserve"> persist</w:t>
      </w:r>
      <w:r w:rsidR="00E35AFA">
        <w:rPr>
          <w:rFonts w:ascii="Calibri" w:hAnsi="Calibri"/>
          <w:lang w:val="en-US"/>
        </w:rPr>
        <w:t>e</w:t>
      </w:r>
      <w:r w:rsidRPr="00566559">
        <w:rPr>
          <w:rFonts w:ascii="Calibri" w:hAnsi="Calibri"/>
          <w:lang w:val="en-US"/>
        </w:rPr>
        <w:t>nt drug therapy change.</w:t>
      </w:r>
      <w:r w:rsidR="00A361EF">
        <w:rPr>
          <w:rFonts w:ascii="Calibri" w:hAnsi="Calibri"/>
          <w:lang w:val="en-US"/>
        </w:rPr>
        <w:t xml:space="preserve"> </w:t>
      </w:r>
      <w:r w:rsidRPr="00566559">
        <w:rPr>
          <w:lang w:val="en"/>
        </w:rPr>
        <w:t xml:space="preserve">A logistic regression analysis showed that the </w:t>
      </w:r>
      <w:r w:rsidR="00413BAF">
        <w:rPr>
          <w:lang w:val="en"/>
        </w:rPr>
        <w:t>drug triggering the alert</w:t>
      </w:r>
      <w:r w:rsidRPr="00566559">
        <w:rPr>
          <w:lang w:val="en"/>
        </w:rPr>
        <w:t xml:space="preserve"> and the type of prescription (first time </w:t>
      </w:r>
      <w:r w:rsidR="003C75E9">
        <w:rPr>
          <w:lang w:val="en"/>
        </w:rPr>
        <w:t xml:space="preserve">versus </w:t>
      </w:r>
      <w:r w:rsidRPr="00566559">
        <w:rPr>
          <w:lang w:val="en"/>
        </w:rPr>
        <w:t>repeat) were significantly associated with persistent drug therapy changes. No association was found for age, gender</w:t>
      </w:r>
      <w:r w:rsidR="00F772A2">
        <w:rPr>
          <w:lang w:val="en"/>
        </w:rPr>
        <w:t xml:space="preserve"> and</w:t>
      </w:r>
      <w:r w:rsidRPr="00566559">
        <w:rPr>
          <w:lang w:val="en"/>
        </w:rPr>
        <w:t xml:space="preserve"> number of medicines in use</w:t>
      </w:r>
      <w:r w:rsidR="006C407D">
        <w:rPr>
          <w:lang w:val="en"/>
        </w:rPr>
        <w:t xml:space="preserve"> </w:t>
      </w:r>
      <w:r w:rsidRPr="00566559">
        <w:rPr>
          <w:lang w:val="en"/>
        </w:rPr>
        <w:t xml:space="preserve">and recent clinical medication review. </w:t>
      </w:r>
      <w:r w:rsidR="00413BAF">
        <w:rPr>
          <w:lang w:val="en-GB"/>
        </w:rPr>
        <w:t>Analysis of the i</w:t>
      </w:r>
      <w:r w:rsidR="00256BE6" w:rsidRPr="00D33D85">
        <w:rPr>
          <w:lang w:val="en-GB"/>
        </w:rPr>
        <w:t>nterviews showed</w:t>
      </w:r>
      <w:r w:rsidR="00413BAF">
        <w:rPr>
          <w:lang w:val="en-GB"/>
        </w:rPr>
        <w:t xml:space="preserve"> </w:t>
      </w:r>
      <w:r w:rsidR="00E35AFA" w:rsidRPr="00D33D85">
        <w:rPr>
          <w:lang w:val="en-GB"/>
        </w:rPr>
        <w:t xml:space="preserve">ten </w:t>
      </w:r>
      <w:r w:rsidR="00E35AFA">
        <w:rPr>
          <w:lang w:val="en-GB"/>
        </w:rPr>
        <w:t>aspects</w:t>
      </w:r>
      <w:r w:rsidR="00413BAF">
        <w:rPr>
          <w:lang w:val="en-GB"/>
        </w:rPr>
        <w:t xml:space="preserve"> which according to the pharmacists were</w:t>
      </w:r>
      <w:r w:rsidR="00F772A2">
        <w:rPr>
          <w:lang w:val="en-GB"/>
        </w:rPr>
        <w:t xml:space="preserve"> a</w:t>
      </w:r>
      <w:r w:rsidR="00F772A2" w:rsidRPr="00D33D85">
        <w:rPr>
          <w:lang w:val="en-GB"/>
        </w:rPr>
        <w:t>ssociated</w:t>
      </w:r>
      <w:r w:rsidR="00413BAF">
        <w:rPr>
          <w:lang w:val="en-GB"/>
        </w:rPr>
        <w:t xml:space="preserve"> with alert management leading to</w:t>
      </w:r>
      <w:r w:rsidR="00E35AFA" w:rsidRPr="00D33D85">
        <w:rPr>
          <w:lang w:val="en-GB"/>
        </w:rPr>
        <w:t xml:space="preserve"> </w:t>
      </w:r>
      <w:r w:rsidR="00054BB0">
        <w:rPr>
          <w:lang w:val="en-GB"/>
        </w:rPr>
        <w:t xml:space="preserve">a drug therapy </w:t>
      </w:r>
      <w:r w:rsidR="00F772A2">
        <w:rPr>
          <w:lang w:val="en-GB"/>
        </w:rPr>
        <w:t>change</w:t>
      </w:r>
      <w:r w:rsidR="00413BAF">
        <w:rPr>
          <w:lang w:val="en-GB"/>
        </w:rPr>
        <w:t xml:space="preserve">. These aspects were clustered </w:t>
      </w:r>
      <w:r w:rsidR="00E35AFA" w:rsidRPr="00D33D85">
        <w:rPr>
          <w:lang w:val="en-GB"/>
        </w:rPr>
        <w:t>in organisational aspe</w:t>
      </w:r>
      <w:r w:rsidR="00E35AFA">
        <w:rPr>
          <w:lang w:val="en-GB"/>
        </w:rPr>
        <w:t>c</w:t>
      </w:r>
      <w:r w:rsidR="00E35AFA" w:rsidRPr="00D33D85">
        <w:rPr>
          <w:lang w:val="en-GB"/>
        </w:rPr>
        <w:t>ts,</w:t>
      </w:r>
      <w:r w:rsidR="00E35AFA">
        <w:rPr>
          <w:lang w:val="en-GB"/>
        </w:rPr>
        <w:t xml:space="preserve"> </w:t>
      </w:r>
      <w:r w:rsidR="00054BB0">
        <w:rPr>
          <w:lang w:val="en-GB"/>
        </w:rPr>
        <w:t xml:space="preserve">professional </w:t>
      </w:r>
      <w:r w:rsidR="00E35AFA">
        <w:rPr>
          <w:lang w:val="en-GB"/>
        </w:rPr>
        <w:t>aspects and patient related aspects.</w:t>
      </w:r>
    </w:p>
    <w:p w14:paraId="13AC413F" w14:textId="77777777" w:rsidR="007C6121" w:rsidRPr="00F772A2" w:rsidRDefault="007C6121" w:rsidP="00995E8E">
      <w:pPr>
        <w:pStyle w:val="Geenafstand"/>
        <w:rPr>
          <w:color w:val="FF0000"/>
          <w:lang w:val="en-GB"/>
        </w:rPr>
      </w:pPr>
    </w:p>
    <w:p w14:paraId="524FBE84" w14:textId="68BB079B" w:rsidR="00722D89" w:rsidRPr="0034114C" w:rsidRDefault="00722D89" w:rsidP="00995E8E">
      <w:pPr>
        <w:pStyle w:val="Geenafstand"/>
        <w:rPr>
          <w:b/>
          <w:lang w:val="en-GB"/>
        </w:rPr>
      </w:pPr>
      <w:r w:rsidRPr="0034114C">
        <w:rPr>
          <w:b/>
          <w:lang w:val="en-GB"/>
        </w:rPr>
        <w:t>Conclusion</w:t>
      </w:r>
    </w:p>
    <w:p w14:paraId="435CB982" w14:textId="13513ADF" w:rsidR="00D33D85" w:rsidRDefault="00F772A2" w:rsidP="0034114C">
      <w:pPr>
        <w:pStyle w:val="Geenafstand"/>
        <w:rPr>
          <w:lang w:val="en"/>
        </w:rPr>
      </w:pPr>
      <w:r>
        <w:rPr>
          <w:lang w:val="en-GB"/>
        </w:rPr>
        <w:t xml:space="preserve">In community pharmacy CDSS alerts </w:t>
      </w:r>
      <w:r w:rsidR="0034114C">
        <w:rPr>
          <w:lang w:val="en-GB"/>
        </w:rPr>
        <w:t>to reduce inappropriate drug use in patients &gt;70 years</w:t>
      </w:r>
      <w:r>
        <w:rPr>
          <w:lang w:val="en-GB"/>
        </w:rPr>
        <w:t xml:space="preserve"> resulted i</w:t>
      </w:r>
      <w:r w:rsidR="0034114C">
        <w:rPr>
          <w:lang w:val="en-GB"/>
        </w:rPr>
        <w:t xml:space="preserve">n 8.7% of the </w:t>
      </w:r>
      <w:r>
        <w:rPr>
          <w:lang w:val="en-GB"/>
        </w:rPr>
        <w:t>cases in a</w:t>
      </w:r>
      <w:r w:rsidR="0034114C">
        <w:rPr>
          <w:lang w:val="en-GB"/>
        </w:rPr>
        <w:t xml:space="preserve"> persistent drug therapy change</w:t>
      </w:r>
      <w:r w:rsidR="00D33D85" w:rsidRPr="000201DE">
        <w:rPr>
          <w:lang w:val="en"/>
        </w:rPr>
        <w:t>. The</w:t>
      </w:r>
      <w:r w:rsidR="00413BAF" w:rsidRPr="00413BAF">
        <w:rPr>
          <w:lang w:val="en"/>
        </w:rPr>
        <w:t xml:space="preserve"> </w:t>
      </w:r>
      <w:r w:rsidR="00413BAF">
        <w:rPr>
          <w:lang w:val="en"/>
        </w:rPr>
        <w:t>drug leading to the alert</w:t>
      </w:r>
      <w:r w:rsidR="00413BAF" w:rsidRPr="00566559">
        <w:rPr>
          <w:lang w:val="en"/>
        </w:rPr>
        <w:t xml:space="preserve"> </w:t>
      </w:r>
      <w:r w:rsidR="00D33D85" w:rsidRPr="000201DE">
        <w:rPr>
          <w:lang w:val="en"/>
        </w:rPr>
        <w:t>and the type of prescription</w:t>
      </w:r>
      <w:r w:rsidR="00413BAF">
        <w:rPr>
          <w:lang w:val="en"/>
        </w:rPr>
        <w:t xml:space="preserve"> (first time)</w:t>
      </w:r>
      <w:r w:rsidR="00D33D85" w:rsidRPr="000201DE">
        <w:rPr>
          <w:lang w:val="en"/>
        </w:rPr>
        <w:t xml:space="preserve"> were associated with persist</w:t>
      </w:r>
      <w:r w:rsidR="00D33D85">
        <w:rPr>
          <w:lang w:val="en"/>
        </w:rPr>
        <w:t>e</w:t>
      </w:r>
      <w:r w:rsidR="00D33D85" w:rsidRPr="000201DE">
        <w:rPr>
          <w:lang w:val="en"/>
        </w:rPr>
        <w:t>nt drug therapy changes.</w:t>
      </w:r>
      <w:r w:rsidR="00A361EF">
        <w:rPr>
          <w:lang w:val="en"/>
        </w:rPr>
        <w:t xml:space="preserve"> </w:t>
      </w:r>
      <w:r w:rsidR="00C94595">
        <w:rPr>
          <w:lang w:val="en"/>
        </w:rPr>
        <w:t>According to community pharmacists,</w:t>
      </w:r>
      <w:r w:rsidR="00C94595" w:rsidRPr="00A73F5B">
        <w:rPr>
          <w:lang w:val="en-GB"/>
        </w:rPr>
        <w:t xml:space="preserve"> o</w:t>
      </w:r>
      <w:r w:rsidR="00A361EF" w:rsidRPr="00A73F5B">
        <w:rPr>
          <w:lang w:val="en-GB"/>
        </w:rPr>
        <w:t>rgani</w:t>
      </w:r>
      <w:r w:rsidR="00A73F5B" w:rsidRPr="00A73F5B">
        <w:rPr>
          <w:lang w:val="en-GB"/>
        </w:rPr>
        <w:t>s</w:t>
      </w:r>
      <w:r w:rsidR="00A361EF" w:rsidRPr="00A73F5B">
        <w:rPr>
          <w:lang w:val="en-GB"/>
        </w:rPr>
        <w:t>ational</w:t>
      </w:r>
      <w:r w:rsidR="00413BAF">
        <w:rPr>
          <w:lang w:val="en"/>
        </w:rPr>
        <w:t>, professional and patient-related</w:t>
      </w:r>
      <w:r w:rsidR="00A361EF">
        <w:rPr>
          <w:lang w:val="en"/>
        </w:rPr>
        <w:t xml:space="preserve"> aspects </w:t>
      </w:r>
      <w:r w:rsidR="00413BAF">
        <w:rPr>
          <w:lang w:val="en"/>
        </w:rPr>
        <w:t xml:space="preserve">influenced </w:t>
      </w:r>
      <w:r w:rsidR="00C94595">
        <w:rPr>
          <w:lang w:val="en"/>
        </w:rPr>
        <w:t>their alert management</w:t>
      </w:r>
      <w:r w:rsidR="001A6D53">
        <w:rPr>
          <w:lang w:val="en"/>
        </w:rPr>
        <w:t>.</w:t>
      </w:r>
    </w:p>
    <w:p w14:paraId="6A1FC6EF" w14:textId="486770BC" w:rsidR="00D76351" w:rsidRPr="00D33D85" w:rsidRDefault="00D76351" w:rsidP="00D33D85">
      <w:pPr>
        <w:pStyle w:val="Geenafstand"/>
        <w:rPr>
          <w:b/>
          <w:lang w:val="en"/>
        </w:rPr>
      </w:pPr>
    </w:p>
    <w:sectPr w:rsidR="00D76351" w:rsidRPr="00D3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E33A1" w14:textId="77777777" w:rsidR="001C25EF" w:rsidRDefault="001C25EF" w:rsidP="0034114C">
      <w:pPr>
        <w:spacing w:after="0" w:line="240" w:lineRule="auto"/>
      </w:pPr>
      <w:r>
        <w:separator/>
      </w:r>
    </w:p>
  </w:endnote>
  <w:endnote w:type="continuationSeparator" w:id="0">
    <w:p w14:paraId="4C8C845B" w14:textId="77777777" w:rsidR="001C25EF" w:rsidRDefault="001C25EF" w:rsidP="0034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B8FF8" w14:textId="77777777" w:rsidR="001C25EF" w:rsidRDefault="001C25EF" w:rsidP="0034114C">
      <w:pPr>
        <w:spacing w:after="0" w:line="240" w:lineRule="auto"/>
      </w:pPr>
      <w:r>
        <w:separator/>
      </w:r>
    </w:p>
  </w:footnote>
  <w:footnote w:type="continuationSeparator" w:id="0">
    <w:p w14:paraId="779E55A2" w14:textId="77777777" w:rsidR="001C25EF" w:rsidRDefault="001C25EF" w:rsidP="00341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C489B"/>
    <w:multiLevelType w:val="hybridMultilevel"/>
    <w:tmpl w:val="6F96602C"/>
    <w:lvl w:ilvl="0" w:tplc="928443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736CA"/>
    <w:multiLevelType w:val="hybridMultilevel"/>
    <w:tmpl w:val="13B8CE80"/>
    <w:lvl w:ilvl="0" w:tplc="E0DCD2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E8E"/>
    <w:rsid w:val="00026B06"/>
    <w:rsid w:val="00054BB0"/>
    <w:rsid w:val="000A42BD"/>
    <w:rsid w:val="000C7EDD"/>
    <w:rsid w:val="00113EA3"/>
    <w:rsid w:val="00146A40"/>
    <w:rsid w:val="001A5CEE"/>
    <w:rsid w:val="001A6D53"/>
    <w:rsid w:val="001C25EF"/>
    <w:rsid w:val="001F1E75"/>
    <w:rsid w:val="00256BE6"/>
    <w:rsid w:val="00276391"/>
    <w:rsid w:val="002B6DED"/>
    <w:rsid w:val="0034114C"/>
    <w:rsid w:val="00386BB9"/>
    <w:rsid w:val="003C4979"/>
    <w:rsid w:val="003C75E9"/>
    <w:rsid w:val="00411CAF"/>
    <w:rsid w:val="00413BAF"/>
    <w:rsid w:val="00431A92"/>
    <w:rsid w:val="004353ED"/>
    <w:rsid w:val="00487FF4"/>
    <w:rsid w:val="00490A31"/>
    <w:rsid w:val="004A2E94"/>
    <w:rsid w:val="004F7018"/>
    <w:rsid w:val="0054488E"/>
    <w:rsid w:val="00556156"/>
    <w:rsid w:val="00566559"/>
    <w:rsid w:val="00594CAD"/>
    <w:rsid w:val="005B3D1D"/>
    <w:rsid w:val="006310F5"/>
    <w:rsid w:val="00650909"/>
    <w:rsid w:val="00697085"/>
    <w:rsid w:val="006A28E8"/>
    <w:rsid w:val="006B4D1B"/>
    <w:rsid w:val="006C407D"/>
    <w:rsid w:val="006C7580"/>
    <w:rsid w:val="007074C6"/>
    <w:rsid w:val="00714F50"/>
    <w:rsid w:val="00722D89"/>
    <w:rsid w:val="007277D2"/>
    <w:rsid w:val="00732033"/>
    <w:rsid w:val="007566E6"/>
    <w:rsid w:val="00761DA4"/>
    <w:rsid w:val="007C6121"/>
    <w:rsid w:val="00817140"/>
    <w:rsid w:val="00820F44"/>
    <w:rsid w:val="00826959"/>
    <w:rsid w:val="00832A28"/>
    <w:rsid w:val="008578EC"/>
    <w:rsid w:val="00887278"/>
    <w:rsid w:val="008D6D4A"/>
    <w:rsid w:val="00921041"/>
    <w:rsid w:val="00995E8E"/>
    <w:rsid w:val="009B7B7F"/>
    <w:rsid w:val="009E16CF"/>
    <w:rsid w:val="00A0359F"/>
    <w:rsid w:val="00A07401"/>
    <w:rsid w:val="00A268DA"/>
    <w:rsid w:val="00A361EF"/>
    <w:rsid w:val="00A73F5B"/>
    <w:rsid w:val="00AC4677"/>
    <w:rsid w:val="00B432AC"/>
    <w:rsid w:val="00B6280D"/>
    <w:rsid w:val="00B742ED"/>
    <w:rsid w:val="00BA42FD"/>
    <w:rsid w:val="00BB4374"/>
    <w:rsid w:val="00BE4C2A"/>
    <w:rsid w:val="00C164F4"/>
    <w:rsid w:val="00C94595"/>
    <w:rsid w:val="00CB3062"/>
    <w:rsid w:val="00CE1EA0"/>
    <w:rsid w:val="00CF2EA4"/>
    <w:rsid w:val="00CF5177"/>
    <w:rsid w:val="00CF7B94"/>
    <w:rsid w:val="00D10633"/>
    <w:rsid w:val="00D33D85"/>
    <w:rsid w:val="00D64EC7"/>
    <w:rsid w:val="00D76351"/>
    <w:rsid w:val="00D97398"/>
    <w:rsid w:val="00DF7F9C"/>
    <w:rsid w:val="00E35AFA"/>
    <w:rsid w:val="00E46DC4"/>
    <w:rsid w:val="00E57BD8"/>
    <w:rsid w:val="00E97C31"/>
    <w:rsid w:val="00E97E61"/>
    <w:rsid w:val="00EE11D6"/>
    <w:rsid w:val="00EE3FF6"/>
    <w:rsid w:val="00F05F1A"/>
    <w:rsid w:val="00F43C93"/>
    <w:rsid w:val="00F652DE"/>
    <w:rsid w:val="00F772A2"/>
    <w:rsid w:val="00FD4126"/>
    <w:rsid w:val="00FE22DC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A184"/>
  <w15:chartTrackingRefBased/>
  <w15:docId w15:val="{648C2E6F-F827-4FC5-973A-41574074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95E8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B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7B7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69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69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69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69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695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4353E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2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4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114C"/>
  </w:style>
  <w:style w:type="paragraph" w:styleId="Voettekst">
    <w:name w:val="footer"/>
    <w:basedOn w:val="Standaard"/>
    <w:link w:val="VoettekstChar"/>
    <w:uiPriority w:val="99"/>
    <w:unhideWhenUsed/>
    <w:rsid w:val="0034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3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1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6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11A93-78A0-734A-BE6A-5966492F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Mulder-Wildemors</dc:creator>
  <cp:keywords/>
  <dc:description/>
  <cp:lastModifiedBy>Paul Jansen</cp:lastModifiedBy>
  <cp:revision>2</cp:revision>
  <dcterms:created xsi:type="dcterms:W3CDTF">2019-01-23T12:42:00Z</dcterms:created>
  <dcterms:modified xsi:type="dcterms:W3CDTF">2019-01-23T12:42:00Z</dcterms:modified>
</cp:coreProperties>
</file>